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val="0"/>
        <w:snapToGrid w:val="0"/>
        <w:spacing w:line="560" w:lineRule="exact"/>
        <w:ind w:left="0" w:leftChars="0" w:right="0" w:rightChars="0"/>
        <w:jc w:val="center"/>
        <w:textAlignment w:val="auto"/>
        <w:rPr>
          <w:rFonts w:hint="default" w:ascii="方正小标宋简体" w:hAnsi="黑体" w:eastAsia="方正小标宋简体" w:cs="方正小标宋简体"/>
          <w:sz w:val="36"/>
          <w:szCs w:val="36"/>
          <w:lang w:val="en-US" w:eastAsia="zh-CN"/>
        </w:rPr>
      </w:pPr>
      <w:r>
        <w:rPr>
          <w:rFonts w:hint="eastAsia" w:ascii="方正小标宋简体" w:hAnsi="黑体" w:eastAsia="方正小标宋简体" w:cs="方正小标宋简体"/>
          <w:sz w:val="36"/>
          <w:szCs w:val="36"/>
        </w:rPr>
        <w:t>省教育厅“百校千企科技攻关揭榜挂帅榜单”</w:t>
      </w:r>
      <w:r>
        <w:rPr>
          <w:rFonts w:hint="eastAsia" w:ascii="方正小标宋简体" w:hAnsi="黑体" w:eastAsia="方正小标宋简体" w:cs="方正小标宋简体"/>
          <w:sz w:val="36"/>
          <w:szCs w:val="36"/>
          <w:lang w:val="en-US" w:eastAsia="zh-CN"/>
        </w:rPr>
        <w:t>15</w:t>
      </w:r>
    </w:p>
    <w:p>
      <w:pPr>
        <w:keepNext w:val="0"/>
        <w:keepLines w:val="0"/>
        <w:pageBreakBefore w:val="0"/>
        <w:kinsoku/>
        <w:wordWrap/>
        <w:overflowPunct/>
        <w:topLinePunct w:val="0"/>
        <w:autoSpaceDE/>
        <w:autoSpaceDN/>
        <w:bidi w:val="0"/>
        <w:adjustRightInd w:val="0"/>
        <w:snapToGrid w:val="0"/>
        <w:spacing w:line="560" w:lineRule="exact"/>
        <w:ind w:left="0" w:leftChars="0" w:right="0" w:rightChars="0"/>
        <w:jc w:val="center"/>
        <w:textAlignment w:val="auto"/>
        <w:rPr>
          <w:rFonts w:hint="eastAsia" w:ascii="方正小标宋简体" w:hAnsi="黑体" w:eastAsia="方正小标宋简体" w:cs="方正小标宋简体"/>
          <w:sz w:val="36"/>
          <w:szCs w:val="36"/>
        </w:rPr>
      </w:pPr>
    </w:p>
    <w:p>
      <w:pPr>
        <w:keepNext w:val="0"/>
        <w:keepLines w:val="0"/>
        <w:pageBreakBefore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Times New Roman" w:hAnsi="Times New Roman" w:eastAsia="黑体" w:cs="Times New Roman"/>
          <w:kern w:val="2"/>
          <w:sz w:val="32"/>
          <w:szCs w:val="32"/>
          <w:lang w:bidi="ar-SA"/>
        </w:rPr>
      </w:pPr>
      <w:r>
        <w:rPr>
          <w:rFonts w:ascii="Times New Roman" w:hAnsi="Times New Roman" w:eastAsia="黑体" w:cs="Times New Roman"/>
          <w:kern w:val="2"/>
          <w:sz w:val="32"/>
          <w:szCs w:val="32"/>
          <w:lang w:bidi="ar-SA"/>
        </w:rPr>
        <w:t>一、技术需求名称</w:t>
      </w:r>
    </w:p>
    <w:p>
      <w:pPr>
        <w:keepNext w:val="0"/>
        <w:keepLines w:val="0"/>
        <w:pageBreakBefore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hint="eastAsia" w:ascii="仿宋" w:hAnsi="仿宋" w:eastAsia="仿宋" w:cs="仿宋"/>
          <w:kern w:val="2"/>
          <w:sz w:val="32"/>
          <w:szCs w:val="32"/>
          <w:highlight w:val="none"/>
          <w:lang w:bidi="ar-SA"/>
        </w:rPr>
      </w:pPr>
      <w:r>
        <w:rPr>
          <w:rFonts w:hint="eastAsia" w:ascii="仿宋" w:hAnsi="仿宋" w:eastAsia="仿宋" w:cs="仿宋"/>
          <w:sz w:val="32"/>
          <w:szCs w:val="32"/>
        </w:rPr>
        <w:t>注射用脐带间充质干细胞</w:t>
      </w:r>
      <w:r>
        <w:rPr>
          <w:rFonts w:hint="eastAsia" w:ascii="仿宋" w:hAnsi="仿宋" w:eastAsia="仿宋" w:cs="仿宋"/>
          <w:sz w:val="32"/>
          <w:szCs w:val="32"/>
          <w:highlight w:val="none"/>
        </w:rPr>
        <w:t>治疗各种病因导致的严重肺纤维化及炎症性病变临床研究</w:t>
      </w:r>
    </w:p>
    <w:p>
      <w:pPr>
        <w:keepNext w:val="0"/>
        <w:keepLines w:val="0"/>
        <w:pageBreakBefore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hint="eastAsia" w:ascii="Times New Roman" w:hAnsi="Times New Roman" w:eastAsia="黑体" w:cs="Times New Roman"/>
          <w:kern w:val="2"/>
          <w:sz w:val="32"/>
          <w:szCs w:val="32"/>
          <w:lang w:val="en-US" w:eastAsia="zh-CN" w:bidi="ar-SA"/>
        </w:rPr>
      </w:pPr>
      <w:r>
        <w:rPr>
          <w:rFonts w:ascii="Times New Roman" w:hAnsi="Times New Roman" w:eastAsia="黑体" w:cs="Times New Roman"/>
          <w:kern w:val="2"/>
          <w:sz w:val="32"/>
          <w:szCs w:val="32"/>
          <w:lang w:bidi="ar-SA"/>
        </w:rPr>
        <w:t>二、技术需求企业</w:t>
      </w:r>
    </w:p>
    <w:p>
      <w:pPr>
        <w:keepNext w:val="0"/>
        <w:keepLines w:val="0"/>
        <w:pageBreakBefore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hint="eastAsia" w:ascii="仿宋" w:hAnsi="仿宋" w:eastAsia="仿宋" w:cs="仿宋"/>
          <w:kern w:val="2"/>
          <w:sz w:val="32"/>
          <w:szCs w:val="32"/>
          <w:lang w:bidi="ar-SA"/>
        </w:rPr>
      </w:pPr>
      <w:r>
        <w:rPr>
          <w:rFonts w:hint="eastAsia" w:ascii="仿宋" w:hAnsi="仿宋" w:eastAsia="仿宋" w:cs="仿宋"/>
          <w:sz w:val="32"/>
          <w:szCs w:val="32"/>
        </w:rPr>
        <w:t>贵州汉氏联合生物技术有限公司</w:t>
      </w:r>
    </w:p>
    <w:p>
      <w:pPr>
        <w:keepNext w:val="0"/>
        <w:keepLines w:val="0"/>
        <w:pageBreakBefore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Times New Roman" w:hAnsi="Times New Roman" w:eastAsia="黑体" w:cs="Times New Roman"/>
          <w:kern w:val="2"/>
          <w:sz w:val="32"/>
          <w:szCs w:val="32"/>
          <w:lang w:bidi="ar-SA"/>
        </w:rPr>
      </w:pPr>
      <w:r>
        <w:rPr>
          <w:rFonts w:ascii="Times New Roman" w:hAnsi="Times New Roman" w:eastAsia="黑体" w:cs="Times New Roman"/>
          <w:kern w:val="2"/>
          <w:sz w:val="32"/>
          <w:szCs w:val="32"/>
          <w:lang w:bidi="ar-SA"/>
        </w:rPr>
        <w:t>三、需求方简介</w:t>
      </w:r>
    </w:p>
    <w:p>
      <w:pPr>
        <w:keepNext w:val="0"/>
        <w:keepLines w:val="0"/>
        <w:pageBreakBefore w:val="0"/>
        <w:widowControl/>
        <w:kinsoku/>
        <w:wordWrap/>
        <w:overflowPunct/>
        <w:topLinePunct w:val="0"/>
        <w:autoSpaceDE/>
        <w:autoSpaceDN/>
        <w:bidi w:val="0"/>
        <w:adjustRightInd w:val="0"/>
        <w:snapToGrid w:val="0"/>
        <w:spacing w:line="560" w:lineRule="exact"/>
        <w:ind w:left="0" w:leftChars="0" w:right="0" w:rightChars="0" w:firstLine="640" w:firstLineChars="200"/>
        <w:jc w:val="both"/>
        <w:textAlignment w:val="auto"/>
        <w:rPr>
          <w:rFonts w:hint="eastAsia" w:ascii="仿宋" w:hAnsi="仿宋" w:eastAsia="仿宋" w:cs="仿宋"/>
          <w:kern w:val="2"/>
          <w:sz w:val="32"/>
          <w:szCs w:val="32"/>
          <w:lang w:bidi="ar-SA"/>
        </w:rPr>
      </w:pPr>
      <w:r>
        <w:rPr>
          <w:rFonts w:hint="eastAsia" w:ascii="仿宋" w:hAnsi="仿宋" w:eastAsia="仿宋" w:cs="仿宋"/>
          <w:color w:val="000000"/>
          <w:kern w:val="0"/>
          <w:sz w:val="32"/>
          <w:szCs w:val="32"/>
          <w:lang w:val="en-US" w:eastAsia="zh-CN"/>
        </w:rPr>
        <w:t>汉</w:t>
      </w:r>
      <w:r>
        <w:rPr>
          <w:rFonts w:hint="eastAsia" w:ascii="仿宋" w:hAnsi="仿宋" w:eastAsia="仿宋" w:cs="仿宋"/>
          <w:color w:val="000000"/>
          <w:kern w:val="0"/>
          <w:sz w:val="32"/>
          <w:szCs w:val="32"/>
        </w:rPr>
        <w:t>氏联合生物技术股份有限公司作为细胞科技产业领域的头部企业，是以细胞治疗和再生医学技术为核心，逐步形成以围产期干细胞和免疫细胞存储、细胞药物研发生产、以及细胞应用为主导的医疗健康平台。</w:t>
      </w:r>
      <w:r>
        <w:rPr>
          <w:rFonts w:hint="eastAsia" w:ascii="仿宋" w:hAnsi="仿宋" w:eastAsia="仿宋" w:cs="仿宋"/>
          <w:color w:val="191919"/>
          <w:sz w:val="32"/>
          <w:szCs w:val="32"/>
          <w:shd w:val="clear" w:color="auto" w:fill="FFFFFF"/>
        </w:rPr>
        <w:t>贵州汉氏生物技术有限公司是我省唯一开发了现货型脐带间充质干细胞（UC-MSCs）制剂并通过中检院质检的企</w:t>
      </w:r>
      <w:bookmarkStart w:id="0" w:name="_GoBack"/>
      <w:bookmarkEnd w:id="0"/>
      <w:r>
        <w:rPr>
          <w:rFonts w:hint="eastAsia" w:ascii="仿宋" w:hAnsi="仿宋" w:eastAsia="仿宋" w:cs="仿宋"/>
          <w:color w:val="191919"/>
          <w:sz w:val="32"/>
          <w:szCs w:val="32"/>
          <w:shd w:val="clear" w:color="auto" w:fill="FFFFFF"/>
        </w:rPr>
        <w:t>业</w:t>
      </w:r>
      <w:r>
        <w:rPr>
          <w:rFonts w:hint="eastAsia" w:ascii="仿宋" w:hAnsi="仿宋" w:eastAsia="仿宋" w:cs="仿宋"/>
          <w:color w:val="000000"/>
          <w:kern w:val="0"/>
          <w:sz w:val="32"/>
          <w:szCs w:val="32"/>
        </w:rPr>
        <w:t>。</w:t>
      </w:r>
      <w:r>
        <w:rPr>
          <w:rFonts w:hint="eastAsia" w:ascii="仿宋" w:hAnsi="仿宋" w:eastAsia="仿宋" w:cs="仿宋"/>
          <w:color w:val="000000"/>
          <w:sz w:val="32"/>
          <w:szCs w:val="32"/>
        </w:rPr>
        <w:t>公司拥有国内外顶尖级干细胞研究和产业转化专家团队，由公司法人兼首席科学家韩忠朝教授领衔，为通过贵州省干细胞工程技术创新产业化基地的建设加速贵州干细胞产业、人才集群和加速发展升级提供了研发和服务保障。</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Times New Roman" w:hAnsi="Times New Roman" w:eastAsia="黑体" w:cs="Times New Roman"/>
          <w:kern w:val="2"/>
          <w:sz w:val="32"/>
          <w:szCs w:val="32"/>
          <w:lang w:bidi="ar-SA"/>
        </w:rPr>
      </w:pPr>
      <w:r>
        <w:rPr>
          <w:rFonts w:ascii="Times New Roman" w:hAnsi="Times New Roman" w:eastAsia="黑体" w:cs="Times New Roman"/>
          <w:kern w:val="2"/>
          <w:sz w:val="32"/>
          <w:szCs w:val="32"/>
          <w:lang w:bidi="ar-SA"/>
        </w:rPr>
        <w:t>四、技术需求描述</w:t>
      </w:r>
    </w:p>
    <w:p>
      <w:pPr>
        <w:keepNext w:val="0"/>
        <w:keepLines w:val="0"/>
        <w:pageBreakBefore w:val="0"/>
        <w:kinsoku/>
        <w:wordWrap/>
        <w:overflowPunct/>
        <w:topLinePunct w:val="0"/>
        <w:autoSpaceDE/>
        <w:autoSpaceDN/>
        <w:bidi w:val="0"/>
        <w:adjustRightInd w:val="0"/>
        <w:snapToGrid w:val="0"/>
        <w:spacing w:line="560" w:lineRule="exact"/>
        <w:ind w:left="0" w:leftChars="0" w:right="0" w:rightChars="0" w:firstLine="642" w:firstLineChars="200"/>
        <w:textAlignment w:val="auto"/>
        <w:rPr>
          <w:rFonts w:ascii="Times New Roman" w:hAnsi="Times New Roman" w:eastAsia="楷体_GB2312" w:cs="Times New Roman"/>
          <w:b/>
          <w:bCs/>
          <w:kern w:val="2"/>
          <w:sz w:val="32"/>
          <w:szCs w:val="32"/>
          <w:lang w:bidi="ar-SA"/>
        </w:rPr>
      </w:pPr>
      <w:r>
        <w:rPr>
          <w:rFonts w:ascii="Times New Roman" w:hAnsi="Times New Roman" w:eastAsia="楷体_GB2312" w:cs="Times New Roman"/>
          <w:b/>
          <w:bCs/>
          <w:kern w:val="2"/>
          <w:sz w:val="32"/>
          <w:szCs w:val="32"/>
          <w:lang w:bidi="ar-SA"/>
        </w:rPr>
        <w:t>（一）技术难题</w:t>
      </w:r>
    </w:p>
    <w:p>
      <w:pPr>
        <w:keepNext w:val="0"/>
        <w:keepLines w:val="0"/>
        <w:pageBreakBefore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hint="eastAsia" w:ascii="仿宋" w:hAnsi="仿宋" w:eastAsia="仿宋" w:cs="仿宋"/>
          <w:kern w:val="2"/>
          <w:sz w:val="32"/>
          <w:szCs w:val="32"/>
          <w:lang w:eastAsia="zh-CN" w:bidi="ar-SA"/>
        </w:rPr>
      </w:pPr>
      <w:r>
        <w:rPr>
          <w:rFonts w:hint="eastAsia" w:ascii="仿宋" w:hAnsi="仿宋" w:eastAsia="仿宋" w:cs="仿宋"/>
          <w:color w:val="191919"/>
          <w:sz w:val="32"/>
          <w:szCs w:val="32"/>
          <w:shd w:val="clear" w:color="auto" w:fill="FFFFFF"/>
        </w:rPr>
        <w:t>我国目前正进行临床研究的干细胞治疗产品已达40余项，进入II-III期临床研究的干细胞新药</w:t>
      </w:r>
      <w:r>
        <w:rPr>
          <w:rFonts w:hint="eastAsia" w:ascii="仿宋" w:hAnsi="仿宋" w:eastAsia="仿宋" w:cs="仿宋"/>
          <w:color w:val="191919"/>
          <w:sz w:val="32"/>
          <w:szCs w:val="32"/>
          <w:shd w:val="clear" w:color="auto" w:fill="FFFFFF"/>
          <w:lang w:val="en-US" w:eastAsia="zh-CN"/>
        </w:rPr>
        <w:t>共计4项</w:t>
      </w:r>
      <w:r>
        <w:rPr>
          <w:rFonts w:hint="eastAsia" w:ascii="仿宋" w:hAnsi="仿宋" w:eastAsia="仿宋" w:cs="仿宋"/>
          <w:color w:val="191919"/>
          <w:sz w:val="32"/>
          <w:szCs w:val="32"/>
          <w:shd w:val="clear" w:color="auto" w:fill="FFFFFF"/>
        </w:rPr>
        <w:t>，部分新药进展良好、上市已指日可待。国际上，截止目前已有18个干细胞制品获准上市，但在国内尚属空白。目前在干细胞资源存储技术改进、现货型干细胞制剂制备、生产自动化及临床应用远期疗效与安全性评价等</w:t>
      </w:r>
      <w:r>
        <w:rPr>
          <w:rFonts w:hint="eastAsia" w:ascii="仿宋" w:hAnsi="仿宋" w:eastAsia="仿宋" w:cs="仿宋"/>
          <w:color w:val="191919"/>
          <w:sz w:val="32"/>
          <w:szCs w:val="32"/>
          <w:shd w:val="clear" w:color="auto" w:fill="FFFFFF"/>
          <w:lang w:val="en-US" w:eastAsia="zh-CN"/>
        </w:rPr>
        <w:t>方面亟需攻克</w:t>
      </w:r>
      <w:r>
        <w:rPr>
          <w:rFonts w:hint="eastAsia" w:ascii="仿宋" w:hAnsi="仿宋" w:eastAsia="仿宋" w:cs="仿宋"/>
          <w:color w:val="191919"/>
          <w:sz w:val="32"/>
          <w:szCs w:val="32"/>
          <w:shd w:val="clear" w:color="auto" w:fill="FFFFFF"/>
          <w:lang w:eastAsia="zh-CN"/>
        </w:rPr>
        <w:t>。</w:t>
      </w:r>
    </w:p>
    <w:p>
      <w:pPr>
        <w:keepNext w:val="0"/>
        <w:keepLines w:val="0"/>
        <w:pageBreakBefore w:val="0"/>
        <w:kinsoku/>
        <w:wordWrap/>
        <w:overflowPunct/>
        <w:topLinePunct w:val="0"/>
        <w:autoSpaceDE/>
        <w:autoSpaceDN/>
        <w:bidi w:val="0"/>
        <w:adjustRightInd w:val="0"/>
        <w:snapToGrid w:val="0"/>
        <w:spacing w:line="560" w:lineRule="exact"/>
        <w:ind w:left="0" w:leftChars="0" w:right="0" w:rightChars="0" w:firstLine="642" w:firstLineChars="200"/>
        <w:textAlignment w:val="auto"/>
        <w:rPr>
          <w:rFonts w:ascii="Times New Roman" w:hAnsi="Times New Roman" w:eastAsia="楷体_GB2312" w:cs="Times New Roman"/>
          <w:b/>
          <w:bCs/>
          <w:kern w:val="2"/>
          <w:sz w:val="32"/>
          <w:szCs w:val="32"/>
          <w:lang w:bidi="ar-SA"/>
        </w:rPr>
      </w:pPr>
      <w:r>
        <w:rPr>
          <w:rFonts w:ascii="Times New Roman" w:hAnsi="Times New Roman" w:eastAsia="楷体_GB2312" w:cs="Times New Roman"/>
          <w:b/>
          <w:bCs/>
          <w:kern w:val="2"/>
          <w:sz w:val="32"/>
          <w:szCs w:val="32"/>
          <w:lang w:bidi="ar-SA"/>
        </w:rPr>
        <w:t>（二）攻关内容</w:t>
      </w:r>
    </w:p>
    <w:p>
      <w:pPr>
        <w:keepNext w:val="0"/>
        <w:keepLines w:val="0"/>
        <w:pageBreakBefore w:val="0"/>
        <w:kinsoku/>
        <w:wordWrap/>
        <w:overflowPunct/>
        <w:topLinePunct w:val="0"/>
        <w:autoSpaceDE/>
        <w:autoSpaceDN/>
        <w:bidi w:val="0"/>
        <w:adjustRightInd w:val="0"/>
        <w:snapToGrid w:val="0"/>
        <w:spacing w:line="560" w:lineRule="exact"/>
        <w:ind w:left="0" w:leftChars="0" w:right="0" w:rightChars="0" w:firstLine="480"/>
        <w:textAlignment w:val="auto"/>
        <w:rPr>
          <w:rFonts w:hint="eastAsia" w:ascii="仿宋_GB2312" w:hAnsi="仿宋_GB2312" w:eastAsia="仿宋_GB2312" w:cs="仿宋_GB2312"/>
          <w:kern w:val="2"/>
          <w:sz w:val="32"/>
          <w:szCs w:val="32"/>
          <w:lang w:bidi="ar-SA"/>
        </w:rPr>
      </w:pPr>
      <w:r>
        <w:rPr>
          <w:rFonts w:hint="eastAsia" w:ascii="仿宋" w:hAnsi="仿宋" w:eastAsia="仿宋" w:cs="仿宋"/>
          <w:color w:val="191919"/>
          <w:sz w:val="32"/>
          <w:szCs w:val="32"/>
          <w:shd w:val="clear" w:color="auto" w:fill="FFFFFF"/>
        </w:rPr>
        <w:t>本项目拟进行UC-MSCs注射剂治疗</w:t>
      </w:r>
      <w:r>
        <w:rPr>
          <w:rFonts w:hint="eastAsia" w:ascii="仿宋" w:hAnsi="仿宋" w:eastAsia="仿宋" w:cs="仿宋"/>
          <w:color w:val="191919"/>
          <w:sz w:val="32"/>
          <w:szCs w:val="32"/>
          <w:highlight w:val="none"/>
          <w:shd w:val="clear" w:color="auto" w:fill="FFFFFF"/>
        </w:rPr>
        <w:t>各种病因导致的严重肺纤维化及炎症性病变</w:t>
      </w:r>
      <w:r>
        <w:rPr>
          <w:rFonts w:hint="eastAsia" w:ascii="仿宋" w:hAnsi="仿宋" w:eastAsia="仿宋" w:cs="仿宋"/>
          <w:color w:val="191919"/>
          <w:sz w:val="32"/>
          <w:szCs w:val="32"/>
          <w:highlight w:val="none"/>
          <w:shd w:val="clear" w:color="auto" w:fill="FFFFFF"/>
          <w:lang w:eastAsia="zh-CN"/>
        </w:rPr>
        <w:t>、</w:t>
      </w:r>
      <w:r>
        <w:rPr>
          <w:rFonts w:hint="eastAsia" w:ascii="仿宋" w:hAnsi="仿宋" w:eastAsia="仿宋" w:cs="仿宋"/>
          <w:color w:val="191919"/>
          <w:sz w:val="32"/>
          <w:szCs w:val="32"/>
          <w:highlight w:val="none"/>
          <w:shd w:val="clear" w:color="auto" w:fill="FFFFFF"/>
        </w:rPr>
        <w:t>及其早期并发的多器官功能损伤临床研究将有效阻滞病情的急剧进展和恶化，减轻医疗压力，解决传统治疗难以有效恢复组织损伤</w:t>
      </w:r>
      <w:r>
        <w:rPr>
          <w:rFonts w:hint="eastAsia" w:ascii="仿宋" w:hAnsi="仿宋" w:eastAsia="仿宋" w:cs="仿宋"/>
          <w:color w:val="191919"/>
          <w:sz w:val="32"/>
          <w:szCs w:val="32"/>
          <w:highlight w:val="none"/>
          <w:shd w:val="clear" w:color="auto" w:fill="FFFFFF"/>
          <w:lang w:eastAsia="zh-CN"/>
        </w:rPr>
        <w:t>、</w:t>
      </w:r>
      <w:r>
        <w:rPr>
          <w:rFonts w:hint="eastAsia" w:ascii="仿宋" w:hAnsi="仿宋" w:eastAsia="仿宋" w:cs="仿宋"/>
          <w:color w:val="191919"/>
          <w:sz w:val="32"/>
          <w:szCs w:val="32"/>
          <w:highlight w:val="none"/>
          <w:shd w:val="clear" w:color="auto" w:fill="FFFFFF"/>
        </w:rPr>
        <w:t>避免肺纤维化的临床重大需求。</w:t>
      </w:r>
      <w:r>
        <w:rPr>
          <w:rFonts w:hint="eastAsia" w:ascii="仿宋" w:hAnsi="仿宋" w:eastAsia="仿宋" w:cs="仿宋"/>
          <w:color w:val="191919"/>
          <w:sz w:val="32"/>
          <w:szCs w:val="32"/>
          <w:highlight w:val="none"/>
          <w:shd w:val="clear" w:color="auto" w:fill="FFFFFF"/>
          <w:lang w:val="en-US" w:eastAsia="zh-CN"/>
        </w:rPr>
        <w:t>明确</w:t>
      </w:r>
      <w:r>
        <w:rPr>
          <w:rFonts w:hint="eastAsia" w:ascii="仿宋" w:hAnsi="仿宋" w:eastAsia="仿宋" w:cs="仿宋"/>
          <w:sz w:val="32"/>
          <w:szCs w:val="32"/>
          <w:highlight w:val="none"/>
        </w:rPr>
        <w:t>UC-MSCs制剂应用于各种病因导致的严重肺纤维化及炎症性病变的有效性和安全性</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lang w:val="en-US" w:eastAsia="zh-CN"/>
        </w:rPr>
        <w:t>为</w:t>
      </w:r>
      <w:r>
        <w:rPr>
          <w:rFonts w:hint="eastAsia" w:ascii="仿宋" w:hAnsi="仿宋" w:eastAsia="仿宋" w:cs="仿宋"/>
          <w:sz w:val="32"/>
          <w:szCs w:val="32"/>
          <w:highlight w:val="none"/>
        </w:rPr>
        <w:t>MSCs制剂产品获得上市</w:t>
      </w:r>
      <w:r>
        <w:rPr>
          <w:rFonts w:hint="eastAsia" w:ascii="仿宋" w:hAnsi="仿宋" w:eastAsia="仿宋" w:cs="仿宋"/>
          <w:sz w:val="32"/>
          <w:szCs w:val="32"/>
        </w:rPr>
        <w:t>许可提供关键支撑，同时也为MSCs制剂临床推广应用形成可操作性的行业技术指南。</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Times New Roman" w:hAnsi="Times New Roman" w:eastAsia="黑体" w:cs="Times New Roman"/>
          <w:kern w:val="2"/>
          <w:sz w:val="32"/>
          <w:szCs w:val="32"/>
          <w:lang w:bidi="ar-SA"/>
        </w:rPr>
      </w:pPr>
      <w:r>
        <w:rPr>
          <w:rFonts w:ascii="Times New Roman" w:hAnsi="Times New Roman" w:eastAsia="黑体" w:cs="Times New Roman"/>
          <w:kern w:val="2"/>
          <w:sz w:val="32"/>
          <w:szCs w:val="32"/>
          <w:lang w:bidi="ar-SA"/>
        </w:rPr>
        <w:t>五、考核指标</w:t>
      </w:r>
    </w:p>
    <w:p>
      <w:pPr>
        <w:keepNext w:val="0"/>
        <w:keepLines w:val="0"/>
        <w:pageBreakBefore w:val="0"/>
        <w:kinsoku/>
        <w:wordWrap/>
        <w:overflowPunct/>
        <w:topLinePunct w:val="0"/>
        <w:autoSpaceDE/>
        <w:autoSpaceDN/>
        <w:bidi w:val="0"/>
        <w:adjustRightInd w:val="0"/>
        <w:snapToGrid w:val="0"/>
        <w:spacing w:line="560" w:lineRule="exact"/>
        <w:ind w:left="0" w:leftChars="0" w:right="0" w:rightChars="0" w:firstLine="642" w:firstLineChars="200"/>
        <w:textAlignment w:val="auto"/>
        <w:rPr>
          <w:rFonts w:ascii="Times New Roman" w:hAnsi="Times New Roman" w:eastAsia="楷体_GB2312" w:cs="Times New Roman"/>
          <w:b/>
          <w:bCs/>
          <w:kern w:val="2"/>
          <w:sz w:val="32"/>
          <w:szCs w:val="32"/>
          <w:lang w:bidi="ar-SA"/>
        </w:rPr>
      </w:pPr>
      <w:r>
        <w:rPr>
          <w:rFonts w:ascii="Times New Roman" w:hAnsi="Times New Roman" w:eastAsia="楷体_GB2312" w:cs="Times New Roman"/>
          <w:b/>
          <w:bCs/>
          <w:kern w:val="2"/>
          <w:sz w:val="32"/>
          <w:szCs w:val="32"/>
          <w:lang w:bidi="ar-SA"/>
        </w:rPr>
        <w:t>（一）研发目标</w:t>
      </w:r>
    </w:p>
    <w:p>
      <w:pPr>
        <w:pStyle w:val="3"/>
        <w:keepNext w:val="0"/>
        <w:keepLines w:val="0"/>
        <w:pageBreakBefore w:val="0"/>
        <w:widowControl/>
        <w:shd w:val="clear" w:color="auto" w:fill="FFFFFF"/>
        <w:kinsoku/>
        <w:wordWrap/>
        <w:overflowPunct/>
        <w:topLinePunct w:val="0"/>
        <w:autoSpaceDE/>
        <w:autoSpaceDN/>
        <w:bidi w:val="0"/>
        <w:adjustRightInd w:val="0"/>
        <w:snapToGrid w:val="0"/>
        <w:spacing w:beforeAutospacing="0" w:afterAutospacing="0" w:line="560" w:lineRule="exact"/>
        <w:ind w:left="0" w:leftChars="0" w:right="0" w:rightChars="0" w:firstLine="640" w:firstLineChars="200"/>
        <w:jc w:val="both"/>
        <w:textAlignment w:val="auto"/>
        <w:rPr>
          <w:rStyle w:val="8"/>
          <w:rFonts w:hint="eastAsia" w:ascii="仿宋" w:hAnsi="仿宋" w:eastAsia="仿宋" w:cs="仿宋"/>
          <w:b w:val="0"/>
          <w:bCs w:val="0"/>
          <w:sz w:val="32"/>
          <w:szCs w:val="32"/>
        </w:rPr>
      </w:pPr>
      <w:r>
        <w:rPr>
          <w:rStyle w:val="8"/>
          <w:rFonts w:hint="eastAsia" w:ascii="仿宋" w:hAnsi="仿宋" w:eastAsia="仿宋" w:cs="仿宋"/>
          <w:b w:val="0"/>
          <w:bCs w:val="0"/>
          <w:sz w:val="32"/>
          <w:szCs w:val="32"/>
          <w:lang w:val="en-US"/>
        </w:rPr>
        <w:t>1.</w:t>
      </w:r>
      <w:r>
        <w:rPr>
          <w:rStyle w:val="8"/>
          <w:rFonts w:hint="eastAsia" w:ascii="仿宋" w:hAnsi="仿宋" w:eastAsia="仿宋" w:cs="仿宋"/>
          <w:b w:val="0"/>
          <w:bCs w:val="0"/>
          <w:sz w:val="32"/>
          <w:szCs w:val="32"/>
        </w:rPr>
        <w:t>针对临床重大疾病，如病毒感染后重症肺炎及预防继发的肺纤维化及可能并发的多器官功能衰竭，明确其疗效和作用机制，形成1个可进入到I期临床试验的UN-MSCs产品，并在通过II、III期临床评价后，申报产品上市许可，在全国推广临床应用。</w:t>
      </w:r>
    </w:p>
    <w:p>
      <w:pPr>
        <w:keepNext w:val="0"/>
        <w:keepLines w:val="0"/>
        <w:pageBreakBefore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Times New Roman" w:hAnsi="Times New Roman" w:eastAsia="楷体_GB2312" w:cs="Times New Roman"/>
          <w:b/>
          <w:bCs/>
          <w:kern w:val="2"/>
          <w:sz w:val="32"/>
          <w:szCs w:val="32"/>
          <w:lang w:bidi="ar-SA"/>
        </w:rPr>
      </w:pPr>
      <w:r>
        <w:rPr>
          <w:rFonts w:hint="eastAsia" w:ascii="仿宋" w:hAnsi="仿宋" w:eastAsia="仿宋" w:cs="仿宋"/>
          <w:sz w:val="32"/>
          <w:szCs w:val="32"/>
          <w:lang w:val="en-US" w:eastAsia="zh-CN"/>
        </w:rPr>
        <w:t>2.为</w:t>
      </w:r>
      <w:r>
        <w:rPr>
          <w:rFonts w:hint="eastAsia" w:ascii="仿宋" w:hAnsi="仿宋" w:eastAsia="仿宋" w:cs="仿宋"/>
          <w:sz w:val="32"/>
          <w:szCs w:val="32"/>
        </w:rPr>
        <w:t>临床感染性、病毒性重大疾病的防治提供新的治疗方案，产品上市后预计产生的直接和间接经济效益可达每年20亿以上</w:t>
      </w:r>
      <w:r>
        <w:rPr>
          <w:rFonts w:hint="eastAsia" w:ascii="仿宋" w:hAnsi="仿宋" w:eastAsia="仿宋" w:cs="仿宋"/>
          <w:sz w:val="32"/>
          <w:szCs w:val="32"/>
          <w:lang w:eastAsia="zh-CN"/>
        </w:rPr>
        <w:t>。</w:t>
      </w:r>
    </w:p>
    <w:p>
      <w:pPr>
        <w:keepNext w:val="0"/>
        <w:keepLines w:val="0"/>
        <w:pageBreakBefore w:val="0"/>
        <w:kinsoku/>
        <w:wordWrap/>
        <w:overflowPunct/>
        <w:topLinePunct w:val="0"/>
        <w:autoSpaceDE/>
        <w:autoSpaceDN/>
        <w:bidi w:val="0"/>
        <w:adjustRightInd w:val="0"/>
        <w:snapToGrid w:val="0"/>
        <w:spacing w:line="560" w:lineRule="exact"/>
        <w:ind w:left="0" w:leftChars="0" w:right="0" w:rightChars="0" w:firstLine="642" w:firstLineChars="200"/>
        <w:textAlignment w:val="auto"/>
        <w:rPr>
          <w:rFonts w:ascii="Times New Roman" w:hAnsi="Times New Roman" w:eastAsia="楷体_GB2312" w:cs="Times New Roman"/>
          <w:b/>
          <w:bCs/>
          <w:kern w:val="2"/>
          <w:sz w:val="32"/>
          <w:szCs w:val="32"/>
          <w:lang w:bidi="ar-SA"/>
        </w:rPr>
      </w:pPr>
      <w:r>
        <w:rPr>
          <w:rFonts w:ascii="Times New Roman" w:hAnsi="Times New Roman" w:eastAsia="楷体_GB2312" w:cs="Times New Roman"/>
          <w:b/>
          <w:bCs/>
          <w:kern w:val="2"/>
          <w:sz w:val="32"/>
          <w:szCs w:val="32"/>
          <w:lang w:bidi="ar-SA"/>
        </w:rPr>
        <w:t>（二）技术指标参数</w:t>
      </w:r>
    </w:p>
    <w:p>
      <w:pPr>
        <w:pStyle w:val="7"/>
        <w:keepNext w:val="0"/>
        <w:keepLines w:val="0"/>
        <w:pageBreakBefore w:val="0"/>
        <w:numPr>
          <w:ilvl w:val="0"/>
          <w:numId w:val="0"/>
        </w:numPr>
        <w:kinsoku/>
        <w:wordWrap/>
        <w:overflowPunct/>
        <w:topLinePunct w:val="0"/>
        <w:autoSpaceDE/>
        <w:autoSpaceDN/>
        <w:bidi w:val="0"/>
        <w:adjustRightInd w:val="0"/>
        <w:snapToGrid w:val="0"/>
        <w:spacing w:line="560" w:lineRule="exact"/>
        <w:ind w:left="0" w:leftChars="0" w:right="0" w:rightChars="0"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观察注射用UC-MSCs治疗重型病毒性肺炎是否可降低患者 28 天死亡风险</w:t>
      </w:r>
      <w:r>
        <w:rPr>
          <w:rFonts w:hint="eastAsia" w:ascii="仿宋" w:hAnsi="仿宋" w:eastAsia="仿宋" w:cs="仿宋"/>
          <w:sz w:val="32"/>
          <w:szCs w:val="32"/>
          <w:lang w:eastAsia="zh-CN"/>
        </w:rPr>
        <w:t>。</w:t>
      </w:r>
      <w:r>
        <w:rPr>
          <w:rFonts w:hint="eastAsia" w:ascii="仿宋" w:hAnsi="仿宋" w:eastAsia="仿宋" w:cs="仿宋"/>
          <w:sz w:val="32"/>
          <w:szCs w:val="32"/>
        </w:rPr>
        <w:t>评价患者从输注 MSCs 后 28 天内，ICU住院时间和无创机械通气总时间。观察氧合指数变化（时间范围：从第 0 天到第 7 天，以先发生的为准，每天测量一次）。肺损伤评分（LIS）（时间范围：根据肺损伤评分相关项，胸部 CT、PEEP、氧合指数）和呼吸机相关参数变化。评价注射用UC-MSCs治疗重型病毒性肺炎过程中对心、肝、肾重要脏器的保护作用。</w:t>
      </w:r>
    </w:p>
    <w:p>
      <w:pPr>
        <w:pStyle w:val="7"/>
        <w:keepNext w:val="0"/>
        <w:keepLines w:val="0"/>
        <w:pageBreakBefore w:val="0"/>
        <w:numPr>
          <w:ilvl w:val="0"/>
          <w:numId w:val="0"/>
        </w:numPr>
        <w:kinsoku/>
        <w:wordWrap/>
        <w:overflowPunct/>
        <w:topLinePunct w:val="0"/>
        <w:autoSpaceDE/>
        <w:autoSpaceDN/>
        <w:bidi w:val="0"/>
        <w:adjustRightInd w:val="0"/>
        <w:snapToGrid w:val="0"/>
        <w:spacing w:line="560" w:lineRule="exact"/>
        <w:ind w:left="0" w:leftChars="0" w:right="0" w:rightChars="0"/>
        <w:jc w:val="left"/>
        <w:textAlignment w:val="auto"/>
        <w:rPr>
          <w:rFonts w:ascii="Times New Roman" w:hAnsi="Times New Roman" w:eastAsia="楷体_GB2312" w:cs="Times New Roman"/>
          <w:b/>
          <w:bCs/>
          <w:kern w:val="2"/>
          <w:sz w:val="32"/>
          <w:szCs w:val="32"/>
          <w:lang w:bidi="ar-SA"/>
        </w:rPr>
      </w:pPr>
      <w:r>
        <w:rPr>
          <w:rFonts w:hint="eastAsia" w:ascii="仿宋" w:hAnsi="仿宋" w:eastAsia="仿宋" w:cs="仿宋"/>
          <w:sz w:val="32"/>
          <w:szCs w:val="32"/>
        </w:rPr>
        <w:t>按国家药品监督管理局新药IND注册备案后完成规范化Ia、Ib期临床试验。</w:t>
      </w:r>
    </w:p>
    <w:p>
      <w:pPr>
        <w:keepNext w:val="0"/>
        <w:keepLines w:val="0"/>
        <w:pageBreakBefore w:val="0"/>
        <w:kinsoku/>
        <w:wordWrap/>
        <w:overflowPunct/>
        <w:topLinePunct w:val="0"/>
        <w:autoSpaceDE/>
        <w:autoSpaceDN/>
        <w:bidi w:val="0"/>
        <w:adjustRightInd w:val="0"/>
        <w:snapToGrid w:val="0"/>
        <w:spacing w:line="560" w:lineRule="exact"/>
        <w:ind w:left="0" w:leftChars="0" w:right="0" w:rightChars="0" w:firstLine="642" w:firstLineChars="200"/>
        <w:textAlignment w:val="auto"/>
        <w:rPr>
          <w:rFonts w:ascii="Times New Roman" w:hAnsi="Times New Roman" w:eastAsia="楷体_GB2312" w:cs="Times New Roman"/>
          <w:b/>
          <w:bCs/>
          <w:kern w:val="2"/>
          <w:sz w:val="32"/>
          <w:szCs w:val="32"/>
          <w:lang w:bidi="ar-SA"/>
        </w:rPr>
      </w:pPr>
      <w:r>
        <w:rPr>
          <w:rFonts w:ascii="Times New Roman" w:hAnsi="Times New Roman" w:eastAsia="楷体_GB2312" w:cs="Times New Roman"/>
          <w:b/>
          <w:bCs/>
          <w:kern w:val="2"/>
          <w:sz w:val="32"/>
          <w:szCs w:val="32"/>
          <w:lang w:bidi="ar-SA"/>
        </w:rPr>
        <w:t>（三）技术攻关时限要求</w:t>
      </w:r>
    </w:p>
    <w:p>
      <w:pPr>
        <w:keepNext w:val="0"/>
        <w:keepLines w:val="0"/>
        <w:pageBreakBefore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在揭榜协议及任务书签订后2年内完成。</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Times New Roman" w:hAnsi="Times New Roman" w:eastAsia="黑体" w:cs="Times New Roman"/>
          <w:kern w:val="2"/>
          <w:sz w:val="32"/>
          <w:szCs w:val="32"/>
        </w:rPr>
      </w:pPr>
      <w:r>
        <w:rPr>
          <w:rFonts w:ascii="Times New Roman" w:hAnsi="Times New Roman" w:eastAsia="黑体" w:cs="Times New Roman"/>
          <w:kern w:val="2"/>
          <w:sz w:val="32"/>
          <w:szCs w:val="32"/>
        </w:rPr>
        <w:t>六、对揭榜方要求</w:t>
      </w:r>
    </w:p>
    <w:p>
      <w:pPr>
        <w:keepNext w:val="0"/>
        <w:keepLines w:val="0"/>
        <w:pageBreakBefore w:val="0"/>
        <w:kinsoku/>
        <w:wordWrap/>
        <w:overflowPunct/>
        <w:topLinePunct w:val="0"/>
        <w:autoSpaceDE/>
        <w:autoSpaceDN/>
        <w:bidi w:val="0"/>
        <w:adjustRightInd w:val="0"/>
        <w:snapToGrid w:val="0"/>
        <w:spacing w:line="560" w:lineRule="exact"/>
        <w:ind w:left="0" w:leftChars="0" w:right="0" w:rightChars="0" w:firstLine="642" w:firstLineChars="200"/>
        <w:textAlignment w:val="auto"/>
        <w:rPr>
          <w:rFonts w:ascii="Times New Roman" w:hAnsi="Times New Roman" w:eastAsia="楷体_GB2312" w:cs="Times New Roman"/>
          <w:b/>
          <w:bCs/>
          <w:kern w:val="2"/>
          <w:sz w:val="32"/>
          <w:szCs w:val="32"/>
        </w:rPr>
      </w:pPr>
      <w:r>
        <w:rPr>
          <w:rFonts w:ascii="Times New Roman" w:hAnsi="Times New Roman" w:eastAsia="楷体_GB2312" w:cs="Times New Roman"/>
          <w:b/>
          <w:bCs/>
          <w:kern w:val="2"/>
          <w:sz w:val="32"/>
          <w:szCs w:val="32"/>
        </w:rPr>
        <w:t>（一）揭榜方应具有以下资质和能力</w:t>
      </w:r>
    </w:p>
    <w:p>
      <w:pPr>
        <w:pStyle w:val="7"/>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textAlignment w:val="auto"/>
      </w:pPr>
      <w:r>
        <w:rPr>
          <w:rFonts w:hint="eastAsia" w:ascii="仿宋" w:hAnsi="仿宋" w:eastAsia="仿宋" w:cs="仿宋"/>
          <w:color w:val="000000" w:themeColor="text1"/>
          <w:sz w:val="32"/>
          <w:szCs w:val="32"/>
          <w14:textFill>
            <w14:solidFill>
              <w14:schemeClr w14:val="tx1"/>
            </w14:solidFill>
          </w14:textFill>
        </w:rPr>
        <w:t>揭榜方需具备技术榜单相关的研究基础</w:t>
      </w:r>
      <w:r>
        <w:rPr>
          <w:rFonts w:hint="eastAsia" w:ascii="仿宋" w:hAnsi="仿宋" w:eastAsia="仿宋" w:cs="仿宋"/>
          <w:color w:val="000000" w:themeColor="text1"/>
          <w:sz w:val="32"/>
          <w:szCs w:val="32"/>
          <w:lang w:eastAsia="zh-CN"/>
          <w14:textFill>
            <w14:solidFill>
              <w14:schemeClr w14:val="tx1"/>
            </w14:solidFill>
          </w14:textFill>
        </w:rPr>
        <w:t>。</w:t>
      </w:r>
    </w:p>
    <w:p>
      <w:pPr>
        <w:keepNext w:val="0"/>
        <w:keepLines w:val="0"/>
        <w:pageBreakBefore w:val="0"/>
        <w:kinsoku/>
        <w:wordWrap/>
        <w:overflowPunct/>
        <w:topLinePunct w:val="0"/>
        <w:autoSpaceDE/>
        <w:autoSpaceDN/>
        <w:bidi w:val="0"/>
        <w:adjustRightInd w:val="0"/>
        <w:snapToGrid w:val="0"/>
        <w:spacing w:line="560" w:lineRule="exact"/>
        <w:ind w:left="0" w:leftChars="0" w:right="0" w:rightChars="0" w:firstLine="642" w:firstLineChars="200"/>
        <w:textAlignment w:val="auto"/>
        <w:rPr>
          <w:rFonts w:ascii="Times New Roman" w:hAnsi="Times New Roman" w:eastAsia="楷体_GB2312" w:cs="Times New Roman"/>
          <w:b/>
          <w:bCs/>
          <w:kern w:val="2"/>
          <w:sz w:val="32"/>
          <w:szCs w:val="32"/>
        </w:rPr>
      </w:pPr>
      <w:r>
        <w:rPr>
          <w:rFonts w:ascii="Times New Roman" w:hAnsi="Times New Roman" w:eastAsia="楷体_GB2312" w:cs="Times New Roman"/>
          <w:b/>
          <w:bCs/>
          <w:kern w:val="2"/>
          <w:sz w:val="32"/>
          <w:szCs w:val="32"/>
        </w:rPr>
        <w:t>（二）产权归属</w:t>
      </w:r>
    </w:p>
    <w:p>
      <w:pPr>
        <w:keepNext w:val="0"/>
        <w:keepLines w:val="0"/>
        <w:pageBreakBefore w:val="0"/>
        <w:kinsoku/>
        <w:wordWrap/>
        <w:overflowPunct/>
        <w:topLinePunct w:val="0"/>
        <w:autoSpaceDE/>
        <w:autoSpaceDN/>
        <w:bidi w:val="0"/>
        <w:adjustRightInd w:val="0"/>
        <w:snapToGrid w:val="0"/>
        <w:spacing w:line="560" w:lineRule="exact"/>
        <w:ind w:left="0" w:leftChars="0" w:right="0" w:rightChars="0" w:firstLine="640" w:firstLineChars="200"/>
        <w:textAlignment w:val="auto"/>
      </w:pPr>
      <w:r>
        <w:rPr>
          <w:rFonts w:hint="eastAsia" w:ascii="仿宋" w:hAnsi="仿宋" w:eastAsia="仿宋" w:cs="仿宋"/>
          <w:color w:val="000000" w:themeColor="text1"/>
          <w:sz w:val="32"/>
          <w:szCs w:val="32"/>
          <w14:textFill>
            <w14:solidFill>
              <w14:schemeClr w14:val="tx1"/>
            </w14:solidFill>
          </w14:textFill>
        </w:rPr>
        <w:t>整个项目实施过程中知识产权归双方共同拥</w:t>
      </w:r>
      <w:r>
        <w:rPr>
          <w:rFonts w:hint="eastAsia" w:ascii="仿宋" w:hAnsi="仿宋" w:eastAsia="仿宋" w:cs="仿宋"/>
          <w:color w:val="000000" w:themeColor="text1"/>
          <w:sz w:val="32"/>
          <w:szCs w:val="32"/>
          <w:lang w:val="en-US" w:eastAsia="zh-CN"/>
          <w14:textFill>
            <w14:solidFill>
              <w14:schemeClr w14:val="tx1"/>
            </w14:solidFill>
          </w14:textFill>
        </w:rPr>
        <w:t>有。</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等线">
    <w:altName w:val="汉仪中宋简"/>
    <w:panose1 w:val="02010600030101010101"/>
    <w:charset w:val="86"/>
    <w:family w:val="auto"/>
    <w:pitch w:val="default"/>
    <w:sig w:usb0="00000000" w:usb1="00000000" w:usb2="00000016" w:usb3="00000000" w:csb0="0004000F" w:csb1="00000000"/>
  </w:font>
  <w:font w:name="等线">
    <w:altName w:val="方正细黑一_GBK"/>
    <w:panose1 w:val="00000000000000000000"/>
    <w:charset w:val="86"/>
    <w:family w:val="auto"/>
    <w:pitch w:val="default"/>
    <w:sig w:usb0="00000000" w:usb1="00000000" w:usb2="00000000" w:usb3="00000000" w:csb0="00000000" w:csb1="00000000"/>
  </w:font>
  <w:font w:name="等线">
    <w:altName w:val="Quicksand Light"/>
    <w:panose1 w:val="00000000000000000000"/>
    <w:charset w:val="00"/>
    <w:family w:val="auto"/>
    <w:pitch w:val="default"/>
    <w:sig w:usb0="00000000" w:usb1="00000000" w:usb2="00000000" w:usb3="00000000" w:csb0="00000000" w:csb1="00000000"/>
  </w:font>
  <w:font w:name="Verdana">
    <w:altName w:val="DejaVu Sans"/>
    <w:panose1 w:val="020B0604030504040204"/>
    <w:charset w:val="00"/>
    <w:family w:val="swiss"/>
    <w:pitch w:val="default"/>
    <w:sig w:usb0="00000000" w:usb1="00000000" w:usb2="00000010" w:usb3="00000000" w:csb0="2000019F" w:csb1="00000000"/>
  </w:font>
  <w:font w:name="方正小标宋简体">
    <w:panose1 w:val="02000000000000000000"/>
    <w:charset w:val="86"/>
    <w:family w:val="auto"/>
    <w:pitch w:val="default"/>
    <w:sig w:usb0="A00002BF" w:usb1="184F6CFA" w:usb2="00000012" w:usb3="00000000" w:csb0="00040001" w:csb1="00000000"/>
  </w:font>
  <w:font w:name="仿宋">
    <w:altName w:val="方正仿宋_GBK"/>
    <w:panose1 w:val="02010609060101010101"/>
    <w:charset w:val="86"/>
    <w:family w:val="modern"/>
    <w:pitch w:val="default"/>
    <w:sig w:usb0="00000000" w:usb1="00000000" w:usb2="00000016" w:usb3="00000000" w:csb0="00040001" w:csb1="00000000"/>
  </w:font>
  <w:font w:name="楷体_GB2312">
    <w:altName w:val="方正楷体_GBK"/>
    <w:panose1 w:val="00000000000000000000"/>
    <w:charset w:val="86"/>
    <w:family w:val="auto"/>
    <w:pitch w:val="default"/>
    <w:sig w:usb0="00000000" w:usb1="00000000" w:usb2="00000000" w:usb3="00000000" w:csb0="00040000" w:csb1="00000000"/>
  </w:font>
  <w:font w:name="仿宋_GB2312">
    <w:altName w:val="方正仿宋_GBK"/>
    <w:panose1 w:val="02010609030101010101"/>
    <w:charset w:val="86"/>
    <w:family w:val="auto"/>
    <w:pitch w:val="default"/>
    <w:sig w:usb0="00000000" w:usb1="00000000" w:usb2="00000000" w:usb3="00000000" w:csb0="00040000" w:csb1="00000000"/>
  </w:font>
  <w:font w:name="Quicksand Light">
    <w:panose1 w:val="00000400000000000000"/>
    <w:charset w:val="00"/>
    <w:family w:val="auto"/>
    <w:pitch w:val="default"/>
    <w:sig w:usb0="2000000F" w:usb1="00000001" w:usb2="00000000" w:usb3="00000000" w:csb0="20000193"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 w:name="汉仪中宋简">
    <w:panose1 w:val="02010600000101010101"/>
    <w:charset w:val="86"/>
    <w:family w:val="auto"/>
    <w:pitch w:val="default"/>
    <w:sig w:usb0="00000001" w:usb1="080E0800" w:usb2="00000002" w:usb3="00000000" w:csb0="00040000" w:csb1="00000000"/>
  </w:font>
  <w:font w:name="方正细黑一_GBK">
    <w:panose1 w:val="03000509000000000000"/>
    <w:charset w:val="86"/>
    <w:family w:val="auto"/>
    <w:pitch w:val="default"/>
    <w:sig w:usb0="00000001" w:usb1="080E0000" w:usb2="00000000" w:usb3="00000000" w:csb0="00040000" w:csb1="0000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jc w:val="left"/>
      <w:rPr>
        <w:rFonts w:ascii="Times New Roman" w:hAnsi="Times New Roman" w:cs="Times New Roman"/>
        <w:kern w:val="2"/>
        <w:sz w:val="18"/>
      </w:rPr>
    </w:pPr>
    <w:r>
      <w:rPr>
        <w:rFonts w:ascii="Times New Roman" w:hAnsi="Times New Roman" w:cs="Times New Roman"/>
        <w:kern w:val="2"/>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534035" cy="230505"/>
              <wp:effectExtent l="0" t="0" r="0" b="1905"/>
              <wp:wrapNone/>
              <wp:docPr id="1" name="文本框 1"/>
              <wp:cNvGraphicFramePr/>
              <a:graphic xmlns:a="http://schemas.openxmlformats.org/drawingml/2006/main">
                <a:graphicData uri="http://schemas.microsoft.com/office/word/2010/wordprocessingShape">
                  <wps:wsp>
                    <wps:cNvSpPr txBox="true">
                      <a:spLocks noChangeArrowheads="true"/>
                    </wps:cNvSpPr>
                    <wps:spPr bwMode="auto">
                      <a:xfrm>
                        <a:off x="0" y="0"/>
                        <a:ext cx="534035" cy="230505"/>
                      </a:xfrm>
                      <a:prstGeom prst="rect">
                        <a:avLst/>
                      </a:prstGeom>
                      <a:noFill/>
                      <a:ln>
                        <a:noFill/>
                      </a:ln>
                      <a:effectLst/>
                    </wps:spPr>
                    <wps:txbx>
                      <w:txbxContent>
                        <w:p>
                          <w:pPr>
                            <w:snapToGrid w:val="0"/>
                            <w:rPr>
                              <w:rFonts w:hint="eastAsia"/>
                              <w:kern w:val="2"/>
                              <w:sz w:val="28"/>
                              <w:szCs w:val="28"/>
                              <w:lang w:bidi="ar-SA"/>
                            </w:rPr>
                          </w:pPr>
                          <w:r>
                            <w:rPr>
                              <w:rFonts w:hint="eastAsia"/>
                              <w:kern w:val="2"/>
                              <w:sz w:val="28"/>
                              <w:szCs w:val="28"/>
                              <w:lang w:bidi="ar-SA"/>
                            </w:rPr>
                            <w:fldChar w:fldCharType="begin"/>
                          </w:r>
                          <w:r>
                            <w:rPr>
                              <w:rFonts w:hint="eastAsia"/>
                              <w:kern w:val="2"/>
                              <w:sz w:val="28"/>
                              <w:szCs w:val="28"/>
                              <w:lang w:bidi="ar-SA"/>
                            </w:rPr>
                            <w:instrText xml:space="preserve"> PAGE  \* MERGEFORMAT </w:instrText>
                          </w:r>
                          <w:r>
                            <w:rPr>
                              <w:rFonts w:hint="eastAsia"/>
                              <w:kern w:val="2"/>
                              <w:sz w:val="28"/>
                              <w:szCs w:val="28"/>
                              <w:lang w:bidi="ar-SA"/>
                            </w:rPr>
                            <w:fldChar w:fldCharType="separate"/>
                          </w:r>
                          <w:r>
                            <w:rPr>
                              <w:kern w:val="2"/>
                              <w:sz w:val="28"/>
                              <w:szCs w:val="28"/>
                              <w:lang w:bidi="ar-SA"/>
                            </w:rPr>
                            <w:t>- 23 -</w:t>
                          </w:r>
                          <w:r>
                            <w:rPr>
                              <w:rFonts w:hint="eastAsia"/>
                              <w:kern w:val="2"/>
                              <w:sz w:val="28"/>
                              <w:szCs w:val="28"/>
                              <w:lang w:bidi="ar-SA"/>
                            </w:rPr>
                            <w:fldChar w:fldCharType="end"/>
                          </w:r>
                        </w:p>
                      </w:txbxContent>
                    </wps:txbx>
                    <wps:bodyPr rot="0" vert="horz" wrap="none" lIns="0" tIns="0" rIns="0" bIns="0" anchor="t" anchorCtr="false" upright="true">
                      <a:spAutoFit/>
                    </wps:bodyPr>
                  </wps:wsp>
                </a:graphicData>
              </a:graphic>
            </wp:anchor>
          </w:drawing>
        </mc:Choice>
        <mc:Fallback>
          <w:pict>
            <v:shape id="_x0000_s1026" o:spid="_x0000_s1026" o:spt="202" type="#_x0000_t202" style="position:absolute;left:0pt;margin-top:0pt;height:18.15pt;width:42.05pt;mso-position-horizontal:outside;mso-position-horizontal-relative:margin;mso-wrap-style:none;z-index:251659264;mso-width-relative:page;mso-height-relative:page;" filled="f" stroked="f" coordsize="21600,21600" o:gfxdata="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WAAAAZHJzL1BLAQIUABQAAAAIAIdO4kDw9kx90QAAAAMBAAAPAAAAAAAAAAEAIAAAADgA&#10;AABkcnMvZG93bnJldi54bWxQSwECFAAUAAAACACHTuJAoCT6G/oBAADPAwAADgAAAAAAAAABACAA&#10;AAA2AQAAZHJzL2Uyb0RvYy54bWxQSwUGAAAAAAYABgBZAQAAogUAAAAA&#10;">
              <v:fill on="f" focussize="0,0"/>
              <v:stroke on="f"/>
              <v:imagedata o:title=""/>
              <o:lock v:ext="edit" aspectratio="f"/>
              <v:textbox inset="0mm,0mm,0mm,0mm" style="mso-fit-shape-to-text:t;">
                <w:txbxContent>
                  <w:p>
                    <w:pPr>
                      <w:snapToGrid w:val="0"/>
                      <w:rPr>
                        <w:rFonts w:hint="eastAsia"/>
                        <w:kern w:val="2"/>
                        <w:sz w:val="28"/>
                        <w:szCs w:val="28"/>
                        <w:lang w:bidi="ar-SA"/>
                      </w:rPr>
                    </w:pPr>
                    <w:r>
                      <w:rPr>
                        <w:rFonts w:hint="eastAsia"/>
                        <w:kern w:val="2"/>
                        <w:sz w:val="28"/>
                        <w:szCs w:val="28"/>
                        <w:lang w:bidi="ar-SA"/>
                      </w:rPr>
                      <w:fldChar w:fldCharType="begin"/>
                    </w:r>
                    <w:r>
                      <w:rPr>
                        <w:rFonts w:hint="eastAsia"/>
                        <w:kern w:val="2"/>
                        <w:sz w:val="28"/>
                        <w:szCs w:val="28"/>
                        <w:lang w:bidi="ar-SA"/>
                      </w:rPr>
                      <w:instrText xml:space="preserve"> PAGE  \* MERGEFORMAT </w:instrText>
                    </w:r>
                    <w:r>
                      <w:rPr>
                        <w:rFonts w:hint="eastAsia"/>
                        <w:kern w:val="2"/>
                        <w:sz w:val="28"/>
                        <w:szCs w:val="28"/>
                        <w:lang w:bidi="ar-SA"/>
                      </w:rPr>
                      <w:fldChar w:fldCharType="separate"/>
                    </w:r>
                    <w:r>
                      <w:rPr>
                        <w:kern w:val="2"/>
                        <w:sz w:val="28"/>
                        <w:szCs w:val="28"/>
                        <w:lang w:bidi="ar-SA"/>
                      </w:rPr>
                      <w:t>- 23 -</w:t>
                    </w:r>
                    <w:r>
                      <w:rPr>
                        <w:rFonts w:hint="eastAsia"/>
                        <w:kern w:val="2"/>
                        <w:sz w:val="28"/>
                        <w:szCs w:val="28"/>
                        <w:lang w:bidi="ar-S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top w:val="none" w:color="auto" w:sz="0" w:space="1"/>
        <w:left w:val="none" w:color="auto" w:sz="0" w:space="4"/>
        <w:bottom w:val="none" w:color="auto" w:sz="0" w:space="1"/>
        <w:right w:val="none" w:color="auto" w:sz="0" w:space="4"/>
      </w:pBdr>
      <w:snapToGrid w:val="0"/>
      <w:rPr>
        <w:rFonts w:ascii="Times New Roman" w:hAnsi="Times New Roman" w:cs="Times New Roman"/>
        <w:kern w:val="2"/>
        <w:sz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VhMGEwYTJhYjYxMzJiZTQ0ZTVmOGQyOWQ3Yzc4NWEifQ=="/>
  </w:docVars>
  <w:rsids>
    <w:rsidRoot w:val="009C75EC"/>
    <w:rsid w:val="009C75EC"/>
    <w:rsid w:val="00E21AB4"/>
    <w:rsid w:val="15DB35DD"/>
    <w:rsid w:val="19296437"/>
    <w:rsid w:val="1C231A28"/>
    <w:rsid w:val="2059244D"/>
    <w:rsid w:val="3CC063DE"/>
    <w:rsid w:val="467C2871"/>
    <w:rsid w:val="58366D88"/>
    <w:rsid w:val="667D741A"/>
    <w:rsid w:val="71A60B1A"/>
    <w:rsid w:val="79792D12"/>
    <w:rsid w:val="7FF53C7D"/>
    <w:rsid w:val="7FFD9E1F"/>
    <w:rsid w:val="FBFF88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qFormat="1"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宋体" w:eastAsia="宋体" w:cs="宋体"/>
      <w:color w:val="000000"/>
      <w:kern w:val="0"/>
      <w:sz w:val="24"/>
      <w:szCs w:val="24"/>
      <w:lang w:val="en-US" w:eastAsia="zh-CN" w:bidi="ar-SA"/>
    </w:rPr>
  </w:style>
  <w:style w:type="paragraph" w:styleId="3">
    <w:name w:val="heading 1"/>
    <w:basedOn w:val="1"/>
    <w:next w:val="1"/>
    <w:qFormat/>
    <w:uiPriority w:val="9"/>
    <w:pPr>
      <w:spacing w:beforeAutospacing="1" w:afterAutospacing="1"/>
      <w:jc w:val="left"/>
      <w:outlineLvl w:val="0"/>
    </w:pPr>
    <w:rPr>
      <w:rFonts w:hint="eastAsia" w:ascii="宋体" w:hAnsi="宋体" w:eastAsia="宋体" w:cs="Times New Roman"/>
      <w:b/>
      <w:bCs/>
      <w:kern w:val="44"/>
      <w:sz w:val="48"/>
      <w:szCs w:val="48"/>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Block Text"/>
    <w:basedOn w:val="1"/>
    <w:semiHidden/>
    <w:unhideWhenUsed/>
    <w:qFormat/>
    <w:uiPriority w:val="99"/>
    <w:pPr>
      <w:spacing w:after="120"/>
      <w:ind w:left="1440" w:leftChars="700" w:right="1440" w:rightChars="700"/>
    </w:pPr>
  </w:style>
  <w:style w:type="paragraph" w:customStyle="1" w:styleId="6">
    <w:name w:val="Char Char Char Char Char Char Char"/>
    <w:basedOn w:val="1"/>
    <w:qFormat/>
    <w:uiPriority w:val="0"/>
    <w:pPr>
      <w:widowControl/>
      <w:spacing w:after="160" w:line="240" w:lineRule="exact"/>
      <w:jc w:val="left"/>
    </w:pPr>
    <w:rPr>
      <w:rFonts w:ascii="Arial" w:hAnsi="Arial" w:eastAsia="Times New Roman" w:cs="Verdana"/>
      <w:b/>
      <w:color w:val="auto"/>
      <w:lang w:eastAsia="en-US"/>
    </w:rPr>
  </w:style>
  <w:style w:type="paragraph" w:styleId="7">
    <w:name w:val="List Paragraph"/>
    <w:basedOn w:val="1"/>
    <w:unhideWhenUsed/>
    <w:qFormat/>
    <w:uiPriority w:val="99"/>
    <w:pPr>
      <w:ind w:firstLine="420" w:firstLineChars="200"/>
    </w:pPr>
  </w:style>
  <w:style w:type="character" w:customStyle="1" w:styleId="8">
    <w:name w:val="NormalCharacter"/>
    <w:semiHidden/>
    <w:qFormat/>
    <w:uiPriority w:val="0"/>
    <w:rPr>
      <w:rFonts w:ascii="Calibri" w:hAnsi="Calibri"/>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358</Words>
  <Characters>373</Characters>
  <Lines>130</Lines>
  <Paragraphs>36</Paragraphs>
  <TotalTime>2</TotalTime>
  <ScaleCrop>false</ScaleCrop>
  <LinksUpToDate>false</LinksUpToDate>
  <CharactersWithSpaces>405</CharactersWithSpaces>
  <Application>WPS Office_11.8.2.1111_F1E327BC-269C-435d-A152-05C5408002CA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2022-08-26T01:51:00Z</dcterms:created>
  <dc:creator>马春丽</dc:creator>
  <cp:lastModifiedBy>ysgz</cp:lastModifiedBy>
  <cp:lastPrinted>2024-04-04T02:50:00Z</cp:lastPrinted>
  <dcterms:modified xsi:type="dcterms:W3CDTF">2024-04-19T11:42:33Z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2052-11.8.2.1111</vt:lpwstr>
  </property>
  <property fmtid="{D5CDD505-2E9C-101B-9397-08002B2CF9AE}" pid="3" name="ICV">
    <vt:lpwstr>CEE5E601EA404FFFA442410A1983781A_13</vt:lpwstr>
  </property>
</Properties>
</file>